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18BB" w14:textId="5E87D389" w:rsidR="00354551" w:rsidRPr="0064586D" w:rsidRDefault="00354551" w:rsidP="0064586D">
      <w:pPr>
        <w:jc w:val="center"/>
        <w:rPr>
          <w:rFonts w:ascii="Arial" w:hAnsi="Arial" w:cs="Arial"/>
          <w:b/>
          <w:bCs/>
          <w:sz w:val="28"/>
          <w:szCs w:val="28"/>
        </w:rPr>
      </w:pPr>
      <w:r w:rsidRPr="0064586D">
        <w:rPr>
          <w:rFonts w:ascii="Arial" w:hAnsi="Arial" w:cs="Arial"/>
          <w:b/>
          <w:bCs/>
          <w:sz w:val="28"/>
          <w:szCs w:val="28"/>
        </w:rPr>
        <w:t xml:space="preserve">Morepen </w:t>
      </w:r>
      <w:r w:rsidR="009E6316" w:rsidRPr="0064586D">
        <w:rPr>
          <w:rFonts w:ascii="Arial" w:hAnsi="Arial" w:cs="Arial"/>
          <w:b/>
          <w:bCs/>
          <w:sz w:val="28"/>
          <w:szCs w:val="28"/>
        </w:rPr>
        <w:t>to Launch Resmetirom- a New Drug for Fatty Liver</w:t>
      </w:r>
    </w:p>
    <w:p w14:paraId="39C7EA1A" w14:textId="3FEAD47F" w:rsidR="00354551" w:rsidRPr="0064586D" w:rsidRDefault="009E6316" w:rsidP="0064586D">
      <w:pPr>
        <w:jc w:val="center"/>
        <w:rPr>
          <w:rFonts w:ascii="Arial" w:hAnsi="Arial" w:cs="Arial"/>
          <w:b/>
          <w:bCs/>
          <w:sz w:val="28"/>
          <w:szCs w:val="28"/>
        </w:rPr>
      </w:pPr>
      <w:r w:rsidRPr="0064586D">
        <w:rPr>
          <w:rFonts w:ascii="Arial" w:hAnsi="Arial" w:cs="Arial"/>
          <w:b/>
          <w:bCs/>
          <w:sz w:val="28"/>
          <w:szCs w:val="28"/>
        </w:rPr>
        <w:t>CDSCO clears</w:t>
      </w:r>
      <w:r w:rsidR="00354551" w:rsidRPr="0064586D">
        <w:rPr>
          <w:rFonts w:ascii="Arial" w:hAnsi="Arial" w:cs="Arial"/>
          <w:b/>
          <w:bCs/>
          <w:sz w:val="28"/>
          <w:szCs w:val="28"/>
        </w:rPr>
        <w:t xml:space="preserve"> BE Study </w:t>
      </w:r>
      <w:r w:rsidRPr="0064586D">
        <w:rPr>
          <w:rFonts w:ascii="Arial" w:hAnsi="Arial" w:cs="Arial"/>
          <w:b/>
          <w:bCs/>
          <w:sz w:val="28"/>
          <w:szCs w:val="28"/>
        </w:rPr>
        <w:t>proposal</w:t>
      </w:r>
      <w:r w:rsidR="00354551" w:rsidRPr="0064586D">
        <w:rPr>
          <w:rFonts w:ascii="Arial" w:hAnsi="Arial" w:cs="Arial"/>
          <w:b/>
          <w:bCs/>
          <w:sz w:val="28"/>
          <w:szCs w:val="28"/>
        </w:rPr>
        <w:t xml:space="preserve"> for Resmetirom</w:t>
      </w:r>
    </w:p>
    <w:p w14:paraId="7E82150C" w14:textId="1BCB2682" w:rsidR="00B93521" w:rsidRPr="00C63BEF" w:rsidRDefault="00B93521" w:rsidP="0064586D">
      <w:pPr>
        <w:jc w:val="center"/>
        <w:rPr>
          <w:rFonts w:ascii="Arial" w:hAnsi="Arial" w:cs="Arial"/>
          <w:sz w:val="20"/>
          <w:szCs w:val="20"/>
          <w:u w:val="single"/>
        </w:rPr>
      </w:pPr>
      <w:r w:rsidRPr="00C63BEF">
        <w:rPr>
          <w:rFonts w:ascii="Arial" w:hAnsi="Arial" w:cs="Arial"/>
          <w:i/>
          <w:iCs/>
          <w:sz w:val="20"/>
          <w:szCs w:val="20"/>
        </w:rPr>
        <w:t xml:space="preserve">Among the first few Indian companies set </w:t>
      </w:r>
      <w:r w:rsidR="00414E4C" w:rsidRPr="00C63BEF">
        <w:rPr>
          <w:rFonts w:ascii="Arial" w:hAnsi="Arial" w:cs="Arial"/>
          <w:i/>
          <w:iCs/>
          <w:sz w:val="20"/>
          <w:szCs w:val="20"/>
        </w:rPr>
        <w:t>for Global</w:t>
      </w:r>
      <w:r w:rsidRPr="00C63BEF">
        <w:rPr>
          <w:rFonts w:ascii="Arial" w:hAnsi="Arial" w:cs="Arial"/>
          <w:i/>
          <w:iCs/>
          <w:sz w:val="20"/>
          <w:szCs w:val="20"/>
        </w:rPr>
        <w:t xml:space="preserve"> </w:t>
      </w:r>
      <w:r w:rsidR="00414E4C" w:rsidRPr="00C63BEF">
        <w:rPr>
          <w:rFonts w:ascii="Arial" w:hAnsi="Arial" w:cs="Arial"/>
          <w:i/>
          <w:iCs/>
          <w:sz w:val="20"/>
          <w:szCs w:val="20"/>
        </w:rPr>
        <w:t>L</w:t>
      </w:r>
      <w:r w:rsidRPr="00C63BEF">
        <w:rPr>
          <w:rFonts w:ascii="Arial" w:hAnsi="Arial" w:cs="Arial"/>
          <w:i/>
          <w:iCs/>
          <w:sz w:val="20"/>
          <w:szCs w:val="20"/>
        </w:rPr>
        <w:t>aunch</w:t>
      </w:r>
    </w:p>
    <w:p w14:paraId="68DBB6E7" w14:textId="43C19C55" w:rsidR="0077588E" w:rsidRPr="0064586D" w:rsidRDefault="00B93521" w:rsidP="0064586D">
      <w:pPr>
        <w:jc w:val="both"/>
        <w:rPr>
          <w:rFonts w:ascii="Arial" w:hAnsi="Arial" w:cs="Arial"/>
          <w:color w:val="000000" w:themeColor="text1"/>
          <w:sz w:val="20"/>
          <w:szCs w:val="20"/>
        </w:rPr>
      </w:pPr>
      <w:r w:rsidRPr="0064586D">
        <w:rPr>
          <w:rFonts w:ascii="Arial" w:hAnsi="Arial" w:cs="Arial"/>
          <w:b/>
          <w:bCs/>
          <w:sz w:val="20"/>
          <w:szCs w:val="20"/>
        </w:rPr>
        <w:t xml:space="preserve">Gurugram, April </w:t>
      </w:r>
      <w:r w:rsidR="0064586D" w:rsidRPr="0064586D">
        <w:rPr>
          <w:rFonts w:ascii="Arial" w:hAnsi="Arial" w:cs="Arial"/>
          <w:b/>
          <w:bCs/>
          <w:sz w:val="20"/>
          <w:szCs w:val="20"/>
        </w:rPr>
        <w:t>29</w:t>
      </w:r>
      <w:r w:rsidRPr="0064586D">
        <w:rPr>
          <w:rFonts w:ascii="Arial" w:hAnsi="Arial" w:cs="Arial"/>
          <w:b/>
          <w:bCs/>
          <w:sz w:val="20"/>
          <w:szCs w:val="20"/>
        </w:rPr>
        <w:t>, 2025:</w:t>
      </w:r>
      <w:r w:rsidRPr="0064586D">
        <w:rPr>
          <w:rFonts w:ascii="Arial" w:hAnsi="Arial" w:cs="Arial"/>
          <w:sz w:val="20"/>
          <w:szCs w:val="20"/>
        </w:rPr>
        <w:t xml:space="preserve"> In a key development reinforcing its leadership in the Indian pharmaceutical landscape, </w:t>
      </w:r>
      <w:r w:rsidRPr="0064586D">
        <w:rPr>
          <w:rFonts w:ascii="Arial" w:hAnsi="Arial" w:cs="Arial"/>
          <w:b/>
          <w:bCs/>
          <w:sz w:val="20"/>
          <w:szCs w:val="20"/>
        </w:rPr>
        <w:t>Morepen Laboratories Ltd.</w:t>
      </w:r>
      <w:r w:rsidRPr="0064586D">
        <w:rPr>
          <w:rFonts w:ascii="Arial" w:hAnsi="Arial" w:cs="Arial"/>
          <w:sz w:val="20"/>
          <w:szCs w:val="20"/>
        </w:rPr>
        <w:t xml:space="preserve"> has </w:t>
      </w:r>
      <w:r w:rsidR="00847FFE" w:rsidRPr="0064586D">
        <w:rPr>
          <w:rFonts w:ascii="Arial" w:hAnsi="Arial" w:cs="Arial"/>
          <w:sz w:val="20"/>
          <w:szCs w:val="20"/>
        </w:rPr>
        <w:t xml:space="preserve">got </w:t>
      </w:r>
      <w:r w:rsidR="009D08C3" w:rsidRPr="0064586D">
        <w:rPr>
          <w:rFonts w:ascii="Arial" w:hAnsi="Arial" w:cs="Arial"/>
          <w:sz w:val="20"/>
          <w:szCs w:val="20"/>
        </w:rPr>
        <w:t>clearance</w:t>
      </w:r>
      <w:r w:rsidR="00847FFE" w:rsidRPr="0064586D">
        <w:rPr>
          <w:rFonts w:ascii="Arial" w:hAnsi="Arial" w:cs="Arial"/>
          <w:sz w:val="20"/>
          <w:szCs w:val="20"/>
        </w:rPr>
        <w:t xml:space="preserve"> from Subject Expert Committee (</w:t>
      </w:r>
      <w:r w:rsidR="0064586D">
        <w:rPr>
          <w:rFonts w:ascii="Arial" w:hAnsi="Arial" w:cs="Arial"/>
          <w:sz w:val="20"/>
          <w:szCs w:val="20"/>
        </w:rPr>
        <w:t>‘</w:t>
      </w:r>
      <w:r w:rsidR="00847FFE" w:rsidRPr="0064586D">
        <w:rPr>
          <w:rFonts w:ascii="Arial" w:hAnsi="Arial" w:cs="Arial"/>
          <w:sz w:val="20"/>
          <w:szCs w:val="20"/>
        </w:rPr>
        <w:t>SEC</w:t>
      </w:r>
      <w:r w:rsidR="0064586D">
        <w:rPr>
          <w:rFonts w:ascii="Arial" w:hAnsi="Arial" w:cs="Arial"/>
          <w:sz w:val="20"/>
          <w:szCs w:val="20"/>
        </w:rPr>
        <w:t>’</w:t>
      </w:r>
      <w:r w:rsidR="00847FFE" w:rsidRPr="0064586D">
        <w:rPr>
          <w:rFonts w:ascii="Arial" w:hAnsi="Arial" w:cs="Arial"/>
          <w:sz w:val="20"/>
          <w:szCs w:val="20"/>
        </w:rPr>
        <w:t xml:space="preserve">) of </w:t>
      </w:r>
      <w:r w:rsidRPr="0064586D">
        <w:rPr>
          <w:rFonts w:ascii="Arial" w:hAnsi="Arial" w:cs="Arial"/>
          <w:sz w:val="20"/>
          <w:szCs w:val="20"/>
        </w:rPr>
        <w:t>Central Drugs Standard Control Organization</w:t>
      </w:r>
      <w:r w:rsidRPr="0064586D">
        <w:rPr>
          <w:rFonts w:ascii="Arial" w:hAnsi="Arial" w:cs="Arial"/>
          <w:b/>
          <w:bCs/>
          <w:sz w:val="20"/>
          <w:szCs w:val="20"/>
        </w:rPr>
        <w:t xml:space="preserve"> (</w:t>
      </w:r>
      <w:r w:rsidR="0064586D">
        <w:rPr>
          <w:rFonts w:ascii="Arial" w:hAnsi="Arial" w:cs="Arial"/>
          <w:b/>
          <w:bCs/>
          <w:sz w:val="20"/>
          <w:szCs w:val="20"/>
        </w:rPr>
        <w:t>‘</w:t>
      </w:r>
      <w:r w:rsidRPr="0064586D">
        <w:rPr>
          <w:rFonts w:ascii="Arial" w:hAnsi="Arial" w:cs="Arial"/>
          <w:b/>
          <w:bCs/>
          <w:sz w:val="20"/>
          <w:szCs w:val="20"/>
        </w:rPr>
        <w:t>CDSCO</w:t>
      </w:r>
      <w:r w:rsidR="0064586D">
        <w:rPr>
          <w:rFonts w:ascii="Arial" w:hAnsi="Arial" w:cs="Arial"/>
          <w:b/>
          <w:bCs/>
          <w:sz w:val="20"/>
          <w:szCs w:val="20"/>
        </w:rPr>
        <w:t>’</w:t>
      </w:r>
      <w:r w:rsidRPr="0064586D">
        <w:rPr>
          <w:rFonts w:ascii="Arial" w:hAnsi="Arial" w:cs="Arial"/>
          <w:b/>
          <w:bCs/>
          <w:sz w:val="20"/>
          <w:szCs w:val="20"/>
        </w:rPr>
        <w:t>)</w:t>
      </w:r>
      <w:r w:rsidRPr="0064586D">
        <w:rPr>
          <w:rFonts w:ascii="Arial" w:hAnsi="Arial" w:cs="Arial"/>
          <w:sz w:val="20"/>
          <w:szCs w:val="20"/>
        </w:rPr>
        <w:t xml:space="preserve"> to conduct </w:t>
      </w:r>
      <w:r w:rsidRPr="0064586D">
        <w:rPr>
          <w:rFonts w:ascii="Arial" w:hAnsi="Arial" w:cs="Arial"/>
          <w:b/>
          <w:bCs/>
          <w:sz w:val="20"/>
          <w:szCs w:val="20"/>
        </w:rPr>
        <w:t>Bioequivalence (</w:t>
      </w:r>
      <w:r w:rsidR="0064586D">
        <w:rPr>
          <w:rFonts w:ascii="Arial" w:hAnsi="Arial" w:cs="Arial"/>
          <w:b/>
          <w:bCs/>
          <w:sz w:val="20"/>
          <w:szCs w:val="20"/>
        </w:rPr>
        <w:t>‘</w:t>
      </w:r>
      <w:r w:rsidRPr="0064586D">
        <w:rPr>
          <w:rFonts w:ascii="Arial" w:hAnsi="Arial" w:cs="Arial"/>
          <w:b/>
          <w:bCs/>
          <w:sz w:val="20"/>
          <w:szCs w:val="20"/>
        </w:rPr>
        <w:t>BE</w:t>
      </w:r>
      <w:r w:rsidR="0064586D">
        <w:rPr>
          <w:rFonts w:ascii="Arial" w:hAnsi="Arial" w:cs="Arial"/>
          <w:b/>
          <w:bCs/>
          <w:sz w:val="20"/>
          <w:szCs w:val="20"/>
        </w:rPr>
        <w:t>’</w:t>
      </w:r>
      <w:r w:rsidRPr="0064586D">
        <w:rPr>
          <w:rFonts w:ascii="Arial" w:hAnsi="Arial" w:cs="Arial"/>
          <w:b/>
          <w:bCs/>
          <w:sz w:val="20"/>
          <w:szCs w:val="20"/>
        </w:rPr>
        <w:t>) studies</w:t>
      </w:r>
      <w:r w:rsidRPr="0064586D">
        <w:rPr>
          <w:rFonts w:ascii="Arial" w:hAnsi="Arial" w:cs="Arial"/>
          <w:sz w:val="20"/>
          <w:szCs w:val="20"/>
        </w:rPr>
        <w:t xml:space="preserve"> for </w:t>
      </w:r>
      <w:r w:rsidRPr="0064586D">
        <w:rPr>
          <w:rFonts w:ascii="Arial" w:hAnsi="Arial" w:cs="Arial"/>
          <w:b/>
          <w:bCs/>
          <w:sz w:val="20"/>
          <w:szCs w:val="20"/>
        </w:rPr>
        <w:t xml:space="preserve">Resmetirom </w:t>
      </w:r>
      <w:r w:rsidR="00847FFE" w:rsidRPr="0064586D">
        <w:rPr>
          <w:rFonts w:ascii="Arial" w:hAnsi="Arial" w:cs="Arial"/>
          <w:sz w:val="20"/>
          <w:szCs w:val="20"/>
        </w:rPr>
        <w:t>60</w:t>
      </w:r>
      <w:r w:rsidR="0064586D" w:rsidRPr="0064586D">
        <w:rPr>
          <w:rFonts w:ascii="Arial" w:hAnsi="Arial" w:cs="Arial"/>
          <w:sz w:val="20"/>
          <w:szCs w:val="20"/>
        </w:rPr>
        <w:t xml:space="preserve"> </w:t>
      </w:r>
      <w:r w:rsidR="00847FFE" w:rsidRPr="0064586D">
        <w:rPr>
          <w:rFonts w:ascii="Arial" w:hAnsi="Arial" w:cs="Arial"/>
          <w:sz w:val="20"/>
          <w:szCs w:val="20"/>
        </w:rPr>
        <w:t>mg, 80</w:t>
      </w:r>
      <w:r w:rsidR="0064586D" w:rsidRPr="0064586D">
        <w:rPr>
          <w:rFonts w:ascii="Arial" w:hAnsi="Arial" w:cs="Arial"/>
          <w:sz w:val="20"/>
          <w:szCs w:val="20"/>
        </w:rPr>
        <w:t xml:space="preserve"> </w:t>
      </w:r>
      <w:r w:rsidR="00847FFE" w:rsidRPr="0064586D">
        <w:rPr>
          <w:rFonts w:ascii="Arial" w:hAnsi="Arial" w:cs="Arial"/>
          <w:sz w:val="20"/>
          <w:szCs w:val="20"/>
        </w:rPr>
        <w:t>m</w:t>
      </w:r>
      <w:r w:rsidR="00B7660A" w:rsidRPr="0064586D">
        <w:rPr>
          <w:rFonts w:ascii="Arial" w:hAnsi="Arial" w:cs="Arial"/>
          <w:sz w:val="20"/>
          <w:szCs w:val="20"/>
        </w:rPr>
        <w:t xml:space="preserve">g and </w:t>
      </w:r>
      <w:r w:rsidR="00847FFE" w:rsidRPr="0064586D">
        <w:rPr>
          <w:rFonts w:ascii="Arial" w:hAnsi="Arial" w:cs="Arial"/>
          <w:sz w:val="20"/>
          <w:szCs w:val="20"/>
        </w:rPr>
        <w:t>100</w:t>
      </w:r>
      <w:r w:rsidR="0064586D" w:rsidRPr="0064586D">
        <w:rPr>
          <w:rFonts w:ascii="Arial" w:hAnsi="Arial" w:cs="Arial"/>
          <w:sz w:val="20"/>
          <w:szCs w:val="20"/>
        </w:rPr>
        <w:t xml:space="preserve"> </w:t>
      </w:r>
      <w:r w:rsidR="00847FFE" w:rsidRPr="0064586D">
        <w:rPr>
          <w:rFonts w:ascii="Arial" w:hAnsi="Arial" w:cs="Arial"/>
          <w:sz w:val="20"/>
          <w:szCs w:val="20"/>
        </w:rPr>
        <w:t xml:space="preserve">mg </w:t>
      </w:r>
      <w:r w:rsidRPr="0064586D">
        <w:rPr>
          <w:rFonts w:ascii="Arial" w:hAnsi="Arial" w:cs="Arial"/>
          <w:sz w:val="20"/>
          <w:szCs w:val="20"/>
        </w:rPr>
        <w:t>tablets</w:t>
      </w:r>
      <w:r w:rsidR="00847FFE" w:rsidRPr="0064586D">
        <w:rPr>
          <w:rFonts w:ascii="Arial" w:hAnsi="Arial" w:cs="Arial"/>
          <w:sz w:val="20"/>
          <w:szCs w:val="20"/>
        </w:rPr>
        <w:t xml:space="preserve"> as per the protocol submitted. </w:t>
      </w:r>
      <w:r w:rsidR="0077588E" w:rsidRPr="0064586D">
        <w:rPr>
          <w:rFonts w:ascii="Arial" w:hAnsi="Arial" w:cs="Arial"/>
          <w:color w:val="000000" w:themeColor="text1"/>
          <w:sz w:val="20"/>
          <w:szCs w:val="20"/>
        </w:rPr>
        <w:t xml:space="preserve">This will be followed by clinical trials </w:t>
      </w:r>
      <w:r w:rsidR="00D3166B" w:rsidRPr="0064586D">
        <w:rPr>
          <w:rFonts w:ascii="Arial" w:hAnsi="Arial" w:cs="Arial"/>
          <w:color w:val="000000" w:themeColor="text1"/>
          <w:sz w:val="20"/>
          <w:szCs w:val="20"/>
        </w:rPr>
        <w:t>as per approved</w:t>
      </w:r>
      <w:r w:rsidR="0077588E" w:rsidRPr="0064586D">
        <w:rPr>
          <w:rFonts w:ascii="Arial" w:hAnsi="Arial" w:cs="Arial"/>
          <w:color w:val="000000" w:themeColor="text1"/>
          <w:sz w:val="20"/>
          <w:szCs w:val="20"/>
        </w:rPr>
        <w:t xml:space="preserve"> </w:t>
      </w:r>
      <w:r w:rsidR="00D3166B" w:rsidRPr="0064586D">
        <w:rPr>
          <w:rFonts w:ascii="Arial" w:hAnsi="Arial" w:cs="Arial"/>
          <w:color w:val="000000" w:themeColor="text1"/>
          <w:sz w:val="20"/>
          <w:szCs w:val="20"/>
        </w:rPr>
        <w:t>protocols</w:t>
      </w:r>
      <w:r w:rsidR="0077588E" w:rsidRPr="0064586D">
        <w:rPr>
          <w:rFonts w:ascii="Arial" w:hAnsi="Arial" w:cs="Arial"/>
          <w:color w:val="000000" w:themeColor="text1"/>
          <w:sz w:val="20"/>
          <w:szCs w:val="20"/>
        </w:rPr>
        <w:t>.</w:t>
      </w:r>
    </w:p>
    <w:p w14:paraId="3EB42F83" w14:textId="55B9BAF2" w:rsidR="009E6316" w:rsidRPr="0064586D" w:rsidRDefault="00847FFE" w:rsidP="0064586D">
      <w:pPr>
        <w:jc w:val="both"/>
        <w:rPr>
          <w:rFonts w:ascii="Arial" w:hAnsi="Arial" w:cs="Arial"/>
          <w:sz w:val="20"/>
          <w:szCs w:val="20"/>
        </w:rPr>
      </w:pPr>
      <w:r w:rsidRPr="0064586D">
        <w:rPr>
          <w:rFonts w:ascii="Arial" w:hAnsi="Arial" w:cs="Arial"/>
          <w:sz w:val="20"/>
          <w:szCs w:val="20"/>
        </w:rPr>
        <w:t>Resmetirom is</w:t>
      </w:r>
      <w:r w:rsidR="00B93521" w:rsidRPr="0064586D">
        <w:rPr>
          <w:rFonts w:ascii="Arial" w:hAnsi="Arial" w:cs="Arial"/>
          <w:sz w:val="20"/>
          <w:szCs w:val="20"/>
        </w:rPr>
        <w:t xml:space="preserve"> </w:t>
      </w:r>
      <w:r w:rsidRPr="0064586D">
        <w:rPr>
          <w:rFonts w:ascii="Arial" w:hAnsi="Arial" w:cs="Arial"/>
          <w:sz w:val="20"/>
          <w:szCs w:val="20"/>
        </w:rPr>
        <w:t xml:space="preserve">a highly </w:t>
      </w:r>
      <w:r w:rsidR="00B93521" w:rsidRPr="0064586D">
        <w:rPr>
          <w:rFonts w:ascii="Arial" w:hAnsi="Arial" w:cs="Arial"/>
          <w:sz w:val="20"/>
          <w:szCs w:val="20"/>
        </w:rPr>
        <w:t>promising therapy under development for non-alcoholic steatohepatitis</w:t>
      </w:r>
      <w:r w:rsidR="00B93521" w:rsidRPr="0064586D">
        <w:rPr>
          <w:rFonts w:ascii="Arial" w:hAnsi="Arial" w:cs="Arial"/>
          <w:b/>
          <w:bCs/>
          <w:sz w:val="20"/>
          <w:szCs w:val="20"/>
        </w:rPr>
        <w:t xml:space="preserve"> (</w:t>
      </w:r>
      <w:r w:rsidR="0064586D">
        <w:rPr>
          <w:rFonts w:ascii="Arial" w:hAnsi="Arial" w:cs="Arial"/>
          <w:b/>
          <w:bCs/>
          <w:sz w:val="20"/>
          <w:szCs w:val="20"/>
        </w:rPr>
        <w:t>‘</w:t>
      </w:r>
      <w:r w:rsidR="00B93521" w:rsidRPr="0064586D">
        <w:rPr>
          <w:rFonts w:ascii="Arial" w:hAnsi="Arial" w:cs="Arial"/>
          <w:b/>
          <w:bCs/>
          <w:sz w:val="20"/>
          <w:szCs w:val="20"/>
        </w:rPr>
        <w:t>NASH</w:t>
      </w:r>
      <w:r w:rsidR="0064586D">
        <w:rPr>
          <w:rFonts w:ascii="Arial" w:hAnsi="Arial" w:cs="Arial"/>
          <w:b/>
          <w:bCs/>
          <w:sz w:val="20"/>
          <w:szCs w:val="20"/>
        </w:rPr>
        <w:t>’</w:t>
      </w:r>
      <w:r w:rsidR="00B93521" w:rsidRPr="0064586D">
        <w:rPr>
          <w:rFonts w:ascii="Arial" w:hAnsi="Arial" w:cs="Arial"/>
          <w:b/>
          <w:bCs/>
          <w:sz w:val="20"/>
          <w:szCs w:val="20"/>
        </w:rPr>
        <w:t>)</w:t>
      </w:r>
      <w:r w:rsidR="0077588E" w:rsidRPr="0064586D">
        <w:rPr>
          <w:rFonts w:ascii="Arial" w:hAnsi="Arial" w:cs="Arial"/>
          <w:sz w:val="20"/>
          <w:szCs w:val="20"/>
        </w:rPr>
        <w:t>, a</w:t>
      </w:r>
      <w:r w:rsidR="009E6316" w:rsidRPr="0064586D">
        <w:rPr>
          <w:rFonts w:ascii="Arial" w:hAnsi="Arial" w:cs="Arial"/>
          <w:sz w:val="20"/>
          <w:szCs w:val="20"/>
        </w:rPr>
        <w:t xml:space="preserve"> serious form of </w:t>
      </w:r>
      <w:r w:rsidR="009E6316" w:rsidRPr="00C63BEF">
        <w:rPr>
          <w:rFonts w:ascii="Arial" w:hAnsi="Arial" w:cs="Arial"/>
          <w:sz w:val="20"/>
          <w:szCs w:val="20"/>
        </w:rPr>
        <w:t>non-alcoholic fatty liver disease</w:t>
      </w:r>
      <w:r w:rsidR="009E6316" w:rsidRPr="0064586D">
        <w:rPr>
          <w:rFonts w:ascii="Arial" w:hAnsi="Arial" w:cs="Arial"/>
          <w:sz w:val="20"/>
          <w:szCs w:val="20"/>
        </w:rPr>
        <w:t xml:space="preserve"> </w:t>
      </w:r>
      <w:r w:rsidR="009E6316" w:rsidRPr="00C63BEF">
        <w:rPr>
          <w:rFonts w:ascii="Arial" w:hAnsi="Arial" w:cs="Arial"/>
          <w:b/>
          <w:bCs/>
          <w:sz w:val="20"/>
          <w:szCs w:val="20"/>
        </w:rPr>
        <w:t>(</w:t>
      </w:r>
      <w:r w:rsidR="0064586D" w:rsidRPr="00C63BEF">
        <w:rPr>
          <w:rFonts w:ascii="Arial" w:hAnsi="Arial" w:cs="Arial"/>
          <w:b/>
          <w:bCs/>
          <w:sz w:val="20"/>
          <w:szCs w:val="20"/>
        </w:rPr>
        <w:t>‘</w:t>
      </w:r>
      <w:r w:rsidR="009E6316" w:rsidRPr="00C63BEF">
        <w:rPr>
          <w:rFonts w:ascii="Arial" w:hAnsi="Arial" w:cs="Arial"/>
          <w:b/>
          <w:bCs/>
          <w:sz w:val="20"/>
          <w:szCs w:val="20"/>
        </w:rPr>
        <w:t>NAFLD</w:t>
      </w:r>
      <w:r w:rsidR="0064586D" w:rsidRPr="00C63BEF">
        <w:rPr>
          <w:rFonts w:ascii="Arial" w:hAnsi="Arial" w:cs="Arial"/>
          <w:b/>
          <w:bCs/>
          <w:sz w:val="20"/>
          <w:szCs w:val="20"/>
        </w:rPr>
        <w:t>’</w:t>
      </w:r>
      <w:r w:rsidR="009E6316" w:rsidRPr="00C63BEF">
        <w:rPr>
          <w:rFonts w:ascii="Arial" w:hAnsi="Arial" w:cs="Arial"/>
          <w:b/>
          <w:bCs/>
          <w:sz w:val="20"/>
          <w:szCs w:val="20"/>
        </w:rPr>
        <w:t>)</w:t>
      </w:r>
      <w:r w:rsidR="009E6316" w:rsidRPr="0064586D">
        <w:rPr>
          <w:rFonts w:ascii="Arial" w:hAnsi="Arial" w:cs="Arial"/>
          <w:sz w:val="20"/>
          <w:szCs w:val="20"/>
        </w:rPr>
        <w:t xml:space="preserve"> characterized by </w:t>
      </w:r>
      <w:r w:rsidR="009E6316" w:rsidRPr="0064586D">
        <w:rPr>
          <w:rFonts w:ascii="Arial" w:hAnsi="Arial" w:cs="Arial"/>
          <w:b/>
          <w:bCs/>
          <w:sz w:val="20"/>
          <w:szCs w:val="20"/>
        </w:rPr>
        <w:t>inflammation, liver damage, and fat accumulation in the liver</w:t>
      </w:r>
      <w:r w:rsidR="009E6316" w:rsidRPr="0064586D">
        <w:rPr>
          <w:rFonts w:ascii="Arial" w:hAnsi="Arial" w:cs="Arial"/>
          <w:sz w:val="20"/>
          <w:szCs w:val="20"/>
        </w:rPr>
        <w:t>, potentially leading to scarring (fibrosis), cirrhosis, and even liver cancer. It</w:t>
      </w:r>
      <w:r w:rsidR="00E340D3" w:rsidRPr="0064586D">
        <w:rPr>
          <w:rFonts w:ascii="Arial" w:hAnsi="Arial" w:cs="Arial"/>
          <w:sz w:val="20"/>
          <w:szCs w:val="20"/>
        </w:rPr>
        <w:t xml:space="preserve"> i</w:t>
      </w:r>
      <w:r w:rsidR="009E6316" w:rsidRPr="0064586D">
        <w:rPr>
          <w:rFonts w:ascii="Arial" w:hAnsi="Arial" w:cs="Arial"/>
          <w:sz w:val="20"/>
          <w:szCs w:val="20"/>
        </w:rPr>
        <w:t>s often associated with obesity, metabolic syndrome, and type 2 diabetes, and while it can be a silent disease in the early stages, it can progress to severe liver damage if left untreated</w:t>
      </w:r>
      <w:r w:rsidR="00BE2B15" w:rsidRPr="0064586D">
        <w:rPr>
          <w:rFonts w:ascii="Arial" w:hAnsi="Arial" w:cs="Arial"/>
          <w:sz w:val="20"/>
          <w:szCs w:val="20"/>
        </w:rPr>
        <w:t>.</w:t>
      </w:r>
    </w:p>
    <w:p w14:paraId="7E724754" w14:textId="77777777" w:rsidR="00B7660A" w:rsidRPr="0064586D" w:rsidRDefault="00B7660A" w:rsidP="0064586D">
      <w:pPr>
        <w:jc w:val="both"/>
        <w:rPr>
          <w:rFonts w:ascii="Arial" w:hAnsi="Arial" w:cs="Arial"/>
          <w:i/>
          <w:iCs/>
          <w:sz w:val="20"/>
          <w:szCs w:val="20"/>
        </w:rPr>
      </w:pPr>
      <w:r w:rsidRPr="0064586D">
        <w:rPr>
          <w:rFonts w:ascii="Arial" w:hAnsi="Arial" w:cs="Arial"/>
          <w:i/>
          <w:iCs/>
          <w:sz w:val="20"/>
          <w:szCs w:val="20"/>
        </w:rPr>
        <w:t xml:space="preserve">“This is a critical step forward in our journey to bring a much-needed innovation to the hepatology market,” said </w:t>
      </w:r>
      <w:r w:rsidRPr="0064586D">
        <w:rPr>
          <w:rFonts w:ascii="Arial" w:hAnsi="Arial" w:cs="Arial"/>
          <w:b/>
          <w:bCs/>
          <w:i/>
          <w:iCs/>
          <w:sz w:val="20"/>
          <w:szCs w:val="20"/>
        </w:rPr>
        <w:t>Sanjay Suri, Executive Director, Morepen Laboratories</w:t>
      </w:r>
      <w:r w:rsidRPr="0064586D">
        <w:rPr>
          <w:rFonts w:ascii="Arial" w:hAnsi="Arial" w:cs="Arial"/>
          <w:i/>
          <w:iCs/>
          <w:sz w:val="20"/>
          <w:szCs w:val="20"/>
        </w:rPr>
        <w:t>. “We are proud to be one of the first few Indian companies gearing up to launch the finished formulation of Resmetirom. Our end-to-end integration – from APIs to finished dosage – gives us a unique edge in speed, quality, and scalability.”</w:t>
      </w:r>
    </w:p>
    <w:p w14:paraId="3264F7FD" w14:textId="30EBBB93" w:rsidR="0077588E" w:rsidRPr="0064586D" w:rsidRDefault="0077588E" w:rsidP="0064586D">
      <w:pPr>
        <w:jc w:val="both"/>
        <w:rPr>
          <w:rFonts w:ascii="Arial" w:hAnsi="Arial" w:cs="Arial"/>
          <w:noProof/>
          <w:color w:val="000000" w:themeColor="text1"/>
          <w:sz w:val="20"/>
          <w:szCs w:val="20"/>
        </w:rPr>
      </w:pPr>
      <w:r w:rsidRPr="0064586D">
        <w:rPr>
          <w:rFonts w:ascii="Arial" w:hAnsi="Arial" w:cs="Arial"/>
          <w:sz w:val="20"/>
          <w:szCs w:val="20"/>
        </w:rPr>
        <w:t xml:space="preserve">As one of the first Indian companies to foray into this therapeutic area, Morepen is strategically positioned to serve both domestic and international </w:t>
      </w:r>
      <w:r w:rsidR="0064586D" w:rsidRPr="0064586D">
        <w:rPr>
          <w:rFonts w:ascii="Arial" w:hAnsi="Arial" w:cs="Arial"/>
          <w:sz w:val="20"/>
          <w:szCs w:val="20"/>
        </w:rPr>
        <w:t>markets</w:t>
      </w:r>
      <w:r w:rsidR="0064586D" w:rsidRPr="0064586D">
        <w:rPr>
          <w:rFonts w:ascii="Arial" w:hAnsi="Arial" w:cs="Arial"/>
          <w:color w:val="000000" w:themeColor="text1"/>
          <w:sz w:val="20"/>
          <w:szCs w:val="20"/>
        </w:rPr>
        <w:t xml:space="preserve"> and</w:t>
      </w:r>
      <w:r w:rsidRPr="0064586D">
        <w:rPr>
          <w:rFonts w:ascii="Arial" w:hAnsi="Arial" w:cs="Arial"/>
          <w:color w:val="000000" w:themeColor="text1"/>
          <w:sz w:val="20"/>
          <w:szCs w:val="20"/>
        </w:rPr>
        <w:t xml:space="preserve"> is</w:t>
      </w:r>
      <w:r w:rsidR="00DC57B2" w:rsidRPr="0064586D">
        <w:rPr>
          <w:rFonts w:ascii="Arial" w:hAnsi="Arial" w:cs="Arial"/>
          <w:color w:val="000000" w:themeColor="text1"/>
          <w:sz w:val="20"/>
          <w:szCs w:val="20"/>
        </w:rPr>
        <w:t xml:space="preserve"> </w:t>
      </w:r>
      <w:r w:rsidRPr="0064586D">
        <w:rPr>
          <w:rFonts w:ascii="Arial" w:hAnsi="Arial" w:cs="Arial"/>
          <w:color w:val="000000" w:themeColor="text1"/>
          <w:sz w:val="20"/>
          <w:szCs w:val="20"/>
        </w:rPr>
        <w:t>also evaluating</w:t>
      </w:r>
      <w:r w:rsidR="00DC57B2" w:rsidRPr="0064586D">
        <w:rPr>
          <w:rFonts w:ascii="Arial" w:hAnsi="Arial" w:cs="Arial"/>
          <w:color w:val="000000" w:themeColor="text1"/>
          <w:sz w:val="20"/>
          <w:szCs w:val="20"/>
        </w:rPr>
        <w:t xml:space="preserve"> </w:t>
      </w:r>
      <w:r w:rsidRPr="0064586D">
        <w:rPr>
          <w:rFonts w:ascii="Arial" w:hAnsi="Arial" w:cs="Arial"/>
          <w:color w:val="000000" w:themeColor="text1"/>
          <w:sz w:val="20"/>
          <w:szCs w:val="20"/>
        </w:rPr>
        <w:t>out-licencing</w:t>
      </w:r>
      <w:r w:rsidR="00DC57B2" w:rsidRPr="0064586D">
        <w:rPr>
          <w:rFonts w:ascii="Arial" w:hAnsi="Arial" w:cs="Arial"/>
          <w:color w:val="000000" w:themeColor="text1"/>
          <w:sz w:val="20"/>
          <w:szCs w:val="20"/>
        </w:rPr>
        <w:t xml:space="preserve"> opportunities with</w:t>
      </w:r>
      <w:r w:rsidRPr="0064586D">
        <w:rPr>
          <w:rFonts w:ascii="Arial" w:hAnsi="Arial" w:cs="Arial"/>
          <w:color w:val="000000" w:themeColor="text1"/>
          <w:sz w:val="20"/>
          <w:szCs w:val="20"/>
        </w:rPr>
        <w:t xml:space="preserve"> </w:t>
      </w:r>
      <w:r w:rsidR="00DC57B2" w:rsidRPr="0064586D">
        <w:rPr>
          <w:rFonts w:ascii="Arial" w:hAnsi="Arial" w:cs="Arial"/>
          <w:color w:val="000000" w:themeColor="text1"/>
          <w:sz w:val="20"/>
          <w:szCs w:val="20"/>
        </w:rPr>
        <w:t>potential marketing partners</w:t>
      </w:r>
      <w:r w:rsidRPr="0064586D">
        <w:rPr>
          <w:rFonts w:ascii="Arial" w:hAnsi="Arial" w:cs="Arial"/>
          <w:color w:val="000000" w:themeColor="text1"/>
          <w:sz w:val="20"/>
          <w:szCs w:val="20"/>
        </w:rPr>
        <w:t>.</w:t>
      </w:r>
    </w:p>
    <w:p w14:paraId="03E39022" w14:textId="55CC7C4F" w:rsidR="00BE2B15" w:rsidRPr="0064586D" w:rsidRDefault="00BE2B15" w:rsidP="0064586D">
      <w:pPr>
        <w:jc w:val="both"/>
        <w:rPr>
          <w:rFonts w:ascii="Arial" w:hAnsi="Arial" w:cs="Arial"/>
          <w:noProof/>
          <w:sz w:val="20"/>
          <w:szCs w:val="20"/>
        </w:rPr>
      </w:pPr>
      <w:r w:rsidRPr="0064586D">
        <w:rPr>
          <w:rFonts w:ascii="Arial" w:hAnsi="Arial" w:cs="Arial"/>
          <w:b/>
          <w:bCs/>
          <w:sz w:val="20"/>
          <w:szCs w:val="20"/>
        </w:rPr>
        <w:t>NASH</w:t>
      </w:r>
      <w:r w:rsidRPr="0064586D">
        <w:rPr>
          <w:rFonts w:ascii="Arial" w:hAnsi="Arial" w:cs="Arial"/>
          <w:sz w:val="20"/>
          <w:szCs w:val="20"/>
        </w:rPr>
        <w:t xml:space="preserve">, a progressive liver disease that affects over </w:t>
      </w:r>
      <w:r w:rsidRPr="0064586D">
        <w:rPr>
          <w:rFonts w:ascii="Arial" w:hAnsi="Arial" w:cs="Arial"/>
          <w:b/>
          <w:bCs/>
          <w:sz w:val="20"/>
          <w:szCs w:val="20"/>
        </w:rPr>
        <w:t>115 million people worldwide</w:t>
      </w:r>
      <w:r w:rsidRPr="0064586D">
        <w:rPr>
          <w:rFonts w:ascii="Arial" w:hAnsi="Arial" w:cs="Arial"/>
          <w:sz w:val="20"/>
          <w:szCs w:val="20"/>
        </w:rPr>
        <w:t xml:space="preserve">. According to industry estimates, the </w:t>
      </w:r>
      <w:r w:rsidRPr="0064586D">
        <w:rPr>
          <w:rFonts w:ascii="Arial" w:hAnsi="Arial" w:cs="Arial"/>
          <w:b/>
          <w:bCs/>
          <w:sz w:val="20"/>
          <w:szCs w:val="20"/>
        </w:rPr>
        <w:t>global NASH treatment market</w:t>
      </w:r>
      <w:r w:rsidRPr="0064586D">
        <w:rPr>
          <w:rFonts w:ascii="Arial" w:hAnsi="Arial" w:cs="Arial"/>
          <w:sz w:val="20"/>
          <w:szCs w:val="20"/>
        </w:rPr>
        <w:t xml:space="preserve"> is projected to grow from </w:t>
      </w:r>
      <w:r w:rsidRPr="0064586D">
        <w:rPr>
          <w:rFonts w:ascii="Arial" w:hAnsi="Arial" w:cs="Arial"/>
          <w:b/>
          <w:bCs/>
          <w:sz w:val="20"/>
          <w:szCs w:val="20"/>
        </w:rPr>
        <w:t>USD 2.5 billion in 2024 to over USD 16 billion by 2032</w:t>
      </w:r>
      <w:r w:rsidRPr="0064586D">
        <w:rPr>
          <w:rFonts w:ascii="Arial" w:hAnsi="Arial" w:cs="Arial"/>
          <w:sz w:val="20"/>
          <w:szCs w:val="20"/>
        </w:rPr>
        <w:t>, driven by increasing prevalence, clinical awareness, and regulatory approvals.</w:t>
      </w:r>
    </w:p>
    <w:p w14:paraId="5A88362B" w14:textId="18B0B698" w:rsidR="00B93521" w:rsidRPr="0064586D" w:rsidRDefault="00886452" w:rsidP="0064586D">
      <w:pPr>
        <w:jc w:val="both"/>
        <w:rPr>
          <w:rFonts w:ascii="Arial" w:hAnsi="Arial" w:cs="Arial"/>
          <w:sz w:val="20"/>
          <w:szCs w:val="20"/>
        </w:rPr>
      </w:pPr>
      <w:r w:rsidRPr="0064586D">
        <w:rPr>
          <w:rFonts w:ascii="Arial" w:hAnsi="Arial" w:cs="Arial"/>
          <w:noProof/>
          <w:sz w:val="20"/>
          <w:szCs w:val="20"/>
        </w:rPr>
        <w:drawing>
          <wp:anchor distT="0" distB="0" distL="114300" distR="114300" simplePos="0" relativeHeight="251658240" behindDoc="0" locked="0" layoutInCell="1" allowOverlap="1" wp14:anchorId="7202B855" wp14:editId="5145BD2A">
            <wp:simplePos x="0" y="0"/>
            <wp:positionH relativeFrom="column">
              <wp:posOffset>9525</wp:posOffset>
            </wp:positionH>
            <wp:positionV relativeFrom="paragraph">
              <wp:posOffset>18415</wp:posOffset>
            </wp:positionV>
            <wp:extent cx="3752215" cy="2552700"/>
            <wp:effectExtent l="0" t="0" r="635" b="0"/>
            <wp:wrapThrough wrapText="bothSides">
              <wp:wrapPolygon edited="0">
                <wp:start x="0" y="0"/>
                <wp:lineTo x="0" y="21439"/>
                <wp:lineTo x="21494" y="21439"/>
                <wp:lineTo x="21494" y="0"/>
                <wp:lineTo x="0" y="0"/>
              </wp:wrapPolygon>
            </wp:wrapThrough>
            <wp:docPr id="1389329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29316" name="Picture 13893293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2215" cy="2552700"/>
                    </a:xfrm>
                    <a:prstGeom prst="rect">
                      <a:avLst/>
                    </a:prstGeom>
                  </pic:spPr>
                </pic:pic>
              </a:graphicData>
            </a:graphic>
            <wp14:sizeRelH relativeFrom="page">
              <wp14:pctWidth>0</wp14:pctWidth>
            </wp14:sizeRelH>
            <wp14:sizeRelV relativeFrom="page">
              <wp14:pctHeight>0</wp14:pctHeight>
            </wp14:sizeRelV>
          </wp:anchor>
        </w:drawing>
      </w:r>
      <w:r w:rsidR="00B93521" w:rsidRPr="0064586D">
        <w:rPr>
          <w:rFonts w:ascii="Arial" w:hAnsi="Arial" w:cs="Arial"/>
          <w:sz w:val="20"/>
          <w:szCs w:val="20"/>
        </w:rPr>
        <w:t xml:space="preserve">Morepen has a strong global footprint, exporting its APIs and formulations to </w:t>
      </w:r>
      <w:r w:rsidR="00B93521" w:rsidRPr="0064586D">
        <w:rPr>
          <w:rFonts w:ascii="Arial" w:hAnsi="Arial" w:cs="Arial"/>
          <w:b/>
          <w:bCs/>
          <w:sz w:val="20"/>
          <w:szCs w:val="20"/>
        </w:rPr>
        <w:t>over 80 countries</w:t>
      </w:r>
      <w:r w:rsidR="00B93521" w:rsidRPr="0064586D">
        <w:rPr>
          <w:rFonts w:ascii="Arial" w:hAnsi="Arial" w:cs="Arial"/>
          <w:sz w:val="20"/>
          <w:szCs w:val="20"/>
        </w:rPr>
        <w:t xml:space="preserve">, including regulated markets such as the </w:t>
      </w:r>
      <w:r w:rsidR="00B93521" w:rsidRPr="0064586D">
        <w:rPr>
          <w:rFonts w:ascii="Arial" w:hAnsi="Arial" w:cs="Arial"/>
          <w:b/>
          <w:bCs/>
          <w:sz w:val="20"/>
          <w:szCs w:val="20"/>
        </w:rPr>
        <w:t>U.S., Europe, and Japan</w:t>
      </w:r>
      <w:r w:rsidR="00B93521" w:rsidRPr="0064586D">
        <w:rPr>
          <w:rFonts w:ascii="Arial" w:hAnsi="Arial" w:cs="Arial"/>
          <w:sz w:val="20"/>
          <w:szCs w:val="20"/>
        </w:rPr>
        <w:t xml:space="preserve">. The company’s API manufacturing facilities are </w:t>
      </w:r>
      <w:r w:rsidR="00B93521" w:rsidRPr="0064586D">
        <w:rPr>
          <w:rFonts w:ascii="Arial" w:hAnsi="Arial" w:cs="Arial"/>
          <w:b/>
          <w:bCs/>
          <w:sz w:val="20"/>
          <w:szCs w:val="20"/>
        </w:rPr>
        <w:t>USFDA, EU-GMP, and WHO-GMP compliant</w:t>
      </w:r>
      <w:r w:rsidR="00B93521" w:rsidRPr="0064586D">
        <w:rPr>
          <w:rFonts w:ascii="Arial" w:hAnsi="Arial" w:cs="Arial"/>
          <w:sz w:val="20"/>
          <w:szCs w:val="20"/>
        </w:rPr>
        <w:t>, underscoring its commitment to international quality standards.</w:t>
      </w:r>
    </w:p>
    <w:p w14:paraId="40380154" w14:textId="504A228D" w:rsidR="00B93521" w:rsidRPr="0064586D" w:rsidRDefault="00B93521" w:rsidP="0064586D">
      <w:pPr>
        <w:jc w:val="both"/>
        <w:rPr>
          <w:rFonts w:ascii="Arial" w:hAnsi="Arial" w:cs="Arial"/>
          <w:color w:val="0E2841" w:themeColor="text2"/>
          <w:sz w:val="20"/>
          <w:szCs w:val="20"/>
        </w:rPr>
      </w:pPr>
      <w:r w:rsidRPr="0064586D">
        <w:rPr>
          <w:rFonts w:ascii="Arial" w:hAnsi="Arial" w:cs="Arial"/>
          <w:sz w:val="20"/>
          <w:szCs w:val="20"/>
        </w:rPr>
        <w:t xml:space="preserve">Morepen’s early-mover advantage in Resmetirom, combined with its </w:t>
      </w:r>
      <w:r w:rsidRPr="0064586D">
        <w:rPr>
          <w:rFonts w:ascii="Arial" w:hAnsi="Arial" w:cs="Arial"/>
          <w:b/>
          <w:bCs/>
          <w:sz w:val="20"/>
          <w:szCs w:val="20"/>
        </w:rPr>
        <w:t>scale, integration, and regulatory strength</w:t>
      </w:r>
      <w:r w:rsidRPr="0064586D">
        <w:rPr>
          <w:rFonts w:ascii="Arial" w:hAnsi="Arial" w:cs="Arial"/>
          <w:sz w:val="20"/>
          <w:szCs w:val="20"/>
        </w:rPr>
        <w:t xml:space="preserve">, make it a compelling investment opportunity in the fast-evolving specialty and chronic care segments. The company’s proven ability to </w:t>
      </w:r>
      <w:r w:rsidRPr="0064586D">
        <w:rPr>
          <w:rFonts w:ascii="Arial" w:hAnsi="Arial" w:cs="Arial"/>
          <w:b/>
          <w:bCs/>
          <w:sz w:val="20"/>
          <w:szCs w:val="20"/>
        </w:rPr>
        <w:t xml:space="preserve">leverage global trends, manufacture at scale, and meet stringent regulatory </w:t>
      </w:r>
      <w:r w:rsidRPr="0064586D">
        <w:rPr>
          <w:rFonts w:ascii="Arial" w:hAnsi="Arial" w:cs="Arial"/>
          <w:b/>
          <w:bCs/>
          <w:color w:val="0E2841" w:themeColor="text2"/>
          <w:sz w:val="20"/>
          <w:szCs w:val="20"/>
        </w:rPr>
        <w:t>requirements</w:t>
      </w:r>
      <w:r w:rsidRPr="0064586D">
        <w:rPr>
          <w:rFonts w:ascii="Arial" w:hAnsi="Arial" w:cs="Arial"/>
          <w:color w:val="0E2841" w:themeColor="text2"/>
          <w:sz w:val="20"/>
          <w:szCs w:val="20"/>
        </w:rPr>
        <w:t xml:space="preserve"> positions it as a trusted partner for global innovators and </w:t>
      </w:r>
      <w:r w:rsidR="00DC57B2" w:rsidRPr="0064586D">
        <w:rPr>
          <w:rFonts w:ascii="Arial" w:hAnsi="Arial" w:cs="Arial"/>
          <w:color w:val="0E2841" w:themeColor="text2"/>
          <w:sz w:val="20"/>
          <w:szCs w:val="20"/>
        </w:rPr>
        <w:t>marketing</w:t>
      </w:r>
      <w:r w:rsidRPr="0064586D">
        <w:rPr>
          <w:rFonts w:ascii="Arial" w:hAnsi="Arial" w:cs="Arial"/>
          <w:color w:val="0E2841" w:themeColor="text2"/>
          <w:sz w:val="20"/>
          <w:szCs w:val="20"/>
        </w:rPr>
        <w:t xml:space="preserve"> </w:t>
      </w:r>
      <w:r w:rsidR="00DC57B2" w:rsidRPr="0064586D">
        <w:rPr>
          <w:rFonts w:ascii="Arial" w:hAnsi="Arial" w:cs="Arial"/>
          <w:color w:val="0E2841" w:themeColor="text2"/>
          <w:sz w:val="20"/>
          <w:szCs w:val="20"/>
        </w:rPr>
        <w:t>partners</w:t>
      </w:r>
      <w:r w:rsidRPr="0064586D">
        <w:rPr>
          <w:rFonts w:ascii="Arial" w:hAnsi="Arial" w:cs="Arial"/>
          <w:color w:val="0E2841" w:themeColor="text2"/>
          <w:sz w:val="20"/>
          <w:szCs w:val="20"/>
        </w:rPr>
        <w:t>.</w:t>
      </w:r>
    </w:p>
    <w:p w14:paraId="447FB9E8" w14:textId="77777777" w:rsidR="00B93521" w:rsidRPr="00B93521" w:rsidRDefault="00B93521" w:rsidP="00B93521">
      <w:pPr>
        <w:jc w:val="both"/>
        <w:rPr>
          <w:rFonts w:ascii="Arial Nova" w:hAnsi="Arial Nova" w:cs="Calibri"/>
          <w:b/>
          <w:bCs/>
          <w:sz w:val="18"/>
          <w:szCs w:val="18"/>
        </w:rPr>
      </w:pPr>
      <w:r w:rsidRPr="00B93521">
        <w:rPr>
          <w:rFonts w:ascii="Arial Nova" w:hAnsi="Arial Nova" w:cs="Calibri"/>
          <w:b/>
          <w:bCs/>
          <w:sz w:val="18"/>
          <w:szCs w:val="18"/>
        </w:rPr>
        <w:lastRenderedPageBreak/>
        <w:t>About Morepen Laboratories Ltd.</w:t>
      </w:r>
    </w:p>
    <w:p w14:paraId="5CD96BEF" w14:textId="4C14C333" w:rsidR="00E340D3" w:rsidRDefault="00E340D3" w:rsidP="00B93521">
      <w:pPr>
        <w:jc w:val="both"/>
        <w:rPr>
          <w:rFonts w:ascii="Arial Nova" w:hAnsi="Arial Nova" w:cs="Calibri"/>
          <w:sz w:val="15"/>
          <w:szCs w:val="15"/>
        </w:rPr>
      </w:pPr>
      <w:r w:rsidRPr="00E340D3">
        <w:rPr>
          <w:rFonts w:ascii="Arial Nova" w:hAnsi="Arial Nova" w:cs="Calibri"/>
          <w:sz w:val="15"/>
          <w:szCs w:val="15"/>
        </w:rPr>
        <w:t xml:space="preserve">With a legacy of over 40 years, Morepen Laboratories Ltd. is a leading Indian pharmaceutical company with a strong global footprint across 82 countries. It is India’s #1 exporter of APIs for six key molecules and is rapidly scaling its formulations business to a ₹1,000 crore target. All APIs are manufactured in-house at USFDA-approved facilities, ensuring global quality standards. Morepen </w:t>
      </w:r>
      <w:r w:rsidR="0077588E">
        <w:rPr>
          <w:rFonts w:ascii="Arial Nova" w:hAnsi="Arial Nova" w:cs="Calibri"/>
          <w:sz w:val="15"/>
          <w:szCs w:val="15"/>
        </w:rPr>
        <w:t>is a leader</w:t>
      </w:r>
      <w:r w:rsidRPr="00E340D3">
        <w:rPr>
          <w:rFonts w:ascii="Arial Nova" w:hAnsi="Arial Nova" w:cs="Calibri"/>
          <w:sz w:val="15"/>
          <w:szCs w:val="15"/>
        </w:rPr>
        <w:t xml:space="preserve"> in medical devices with over 1</w:t>
      </w:r>
      <w:r w:rsidR="0077588E">
        <w:rPr>
          <w:rFonts w:ascii="Arial Nova" w:hAnsi="Arial Nova" w:cs="Calibri"/>
          <w:sz w:val="15"/>
          <w:szCs w:val="15"/>
        </w:rPr>
        <w:t>4</w:t>
      </w:r>
      <w:r w:rsidRPr="00E340D3">
        <w:rPr>
          <w:rFonts w:ascii="Arial Nova" w:hAnsi="Arial Nova" w:cs="Calibri"/>
          <w:sz w:val="15"/>
          <w:szCs w:val="15"/>
        </w:rPr>
        <w:t xml:space="preserve"> million glucometer installations. Backed by integrated capabilities and a forward-looking strategy, Morepen is committed to strengthening India's role as the pharmacy of the world.</w:t>
      </w:r>
    </w:p>
    <w:p w14:paraId="1A00E8ED" w14:textId="67DE791E" w:rsidR="00B93521" w:rsidRPr="00BE2B15" w:rsidRDefault="00B93521" w:rsidP="00B93521">
      <w:pPr>
        <w:jc w:val="both"/>
        <w:rPr>
          <w:rFonts w:ascii="Arial Nova" w:hAnsi="Arial Nova" w:cs="Calibri"/>
          <w:sz w:val="15"/>
          <w:szCs w:val="15"/>
        </w:rPr>
      </w:pPr>
      <w:r w:rsidRPr="00BE2B15">
        <w:rPr>
          <w:rFonts w:ascii="Arial Nova" w:hAnsi="Arial Nova" w:cs="Calibri"/>
          <w:sz w:val="15"/>
          <w:szCs w:val="15"/>
        </w:rPr>
        <w:t xml:space="preserve">For more details, visit </w:t>
      </w:r>
      <w:hyperlink r:id="rId8" w:history="1">
        <w:r w:rsidRPr="00BE2B15">
          <w:rPr>
            <w:rStyle w:val="Hyperlink"/>
            <w:rFonts w:ascii="Arial Nova" w:hAnsi="Arial Nova" w:cs="Calibri"/>
            <w:sz w:val="15"/>
            <w:szCs w:val="15"/>
          </w:rPr>
          <w:t>www.morepen.com</w:t>
        </w:r>
      </w:hyperlink>
      <w:r w:rsidRPr="00BE2B15">
        <w:rPr>
          <w:rFonts w:ascii="Arial Nova" w:hAnsi="Arial Nova" w:cs="Calibri"/>
          <w:sz w:val="15"/>
          <w:szCs w:val="15"/>
        </w:rPr>
        <w:t>.</w:t>
      </w:r>
    </w:p>
    <w:p w14:paraId="2FF479CE" w14:textId="77777777" w:rsidR="00B93521" w:rsidRPr="005F0045" w:rsidRDefault="00B93521" w:rsidP="00B93521">
      <w:pPr>
        <w:jc w:val="both"/>
        <w:rPr>
          <w:rFonts w:ascii="Arial Nova" w:hAnsi="Arial Nova" w:cs="Calibri"/>
          <w:b/>
          <w:bCs/>
          <w:sz w:val="15"/>
          <w:szCs w:val="15"/>
        </w:rPr>
      </w:pPr>
      <w:r w:rsidRPr="005F0045">
        <w:rPr>
          <w:rFonts w:ascii="Arial Nova" w:hAnsi="Arial Nova" w:cs="Calibri"/>
          <w:b/>
          <w:bCs/>
          <w:sz w:val="15"/>
          <w:szCs w:val="15"/>
        </w:rPr>
        <w:t>Media Contact:</w:t>
      </w:r>
    </w:p>
    <w:p w14:paraId="50F1A608" w14:textId="77777777" w:rsidR="00B93521" w:rsidRPr="00BE2B15" w:rsidRDefault="00B93521" w:rsidP="00B93521">
      <w:pPr>
        <w:jc w:val="both"/>
        <w:rPr>
          <w:rFonts w:ascii="Arial Nova" w:hAnsi="Arial Nova" w:cs="Calibri"/>
          <w:sz w:val="15"/>
          <w:szCs w:val="15"/>
        </w:rPr>
      </w:pPr>
      <w:r w:rsidRPr="00BE2B15">
        <w:rPr>
          <w:rFonts w:ascii="Arial Nova" w:hAnsi="Arial Nova" w:cs="Calibri"/>
          <w:sz w:val="15"/>
          <w:szCs w:val="15"/>
        </w:rPr>
        <w:t>Morepen Laboratories Ltd.</w:t>
      </w:r>
    </w:p>
    <w:p w14:paraId="617B64B6" w14:textId="77777777" w:rsidR="00B93521" w:rsidRPr="00BE2B15" w:rsidRDefault="00B93521" w:rsidP="00B93521">
      <w:pPr>
        <w:jc w:val="both"/>
        <w:rPr>
          <w:rFonts w:ascii="Arial Nova" w:hAnsi="Arial Nova" w:cs="Calibri"/>
          <w:sz w:val="15"/>
          <w:szCs w:val="15"/>
        </w:rPr>
      </w:pPr>
      <w:r w:rsidRPr="00BE2B15">
        <w:rPr>
          <w:rFonts w:ascii="Arial Nova" w:hAnsi="Arial Nova" w:cs="Calibri"/>
          <w:sz w:val="15"/>
          <w:szCs w:val="15"/>
        </w:rPr>
        <w:t>Corporate Office: 2nd Floor, Tower C, DLF Cyber Park, Udyog Vihar – III, Sector 20, Gurugram, Haryana –122016</w:t>
      </w:r>
      <w:r w:rsidRPr="00BE2B15">
        <w:rPr>
          <w:rFonts w:ascii="Arial Nova" w:hAnsi="Arial Nova" w:cs="Calibri"/>
          <w:sz w:val="15"/>
          <w:szCs w:val="15"/>
        </w:rPr>
        <w:br/>
        <w:t xml:space="preserve">Email: </w:t>
      </w:r>
      <w:hyperlink r:id="rId9" w:history="1">
        <w:r w:rsidRPr="00BE2B15">
          <w:rPr>
            <w:rStyle w:val="Hyperlink"/>
            <w:rFonts w:ascii="Arial Nova" w:hAnsi="Arial Nova" w:cs="Calibri"/>
            <w:sz w:val="15"/>
            <w:szCs w:val="15"/>
          </w:rPr>
          <w:t>corporate@morepen.com</w:t>
        </w:r>
      </w:hyperlink>
    </w:p>
    <w:p w14:paraId="55D371DB" w14:textId="77777777" w:rsidR="00B93521" w:rsidRPr="00BE2B15" w:rsidRDefault="00B93521" w:rsidP="00B93521">
      <w:pPr>
        <w:jc w:val="both"/>
        <w:rPr>
          <w:rFonts w:ascii="Arial Nova" w:hAnsi="Arial Nova" w:cs="Calibri"/>
          <w:sz w:val="15"/>
          <w:szCs w:val="15"/>
        </w:rPr>
      </w:pPr>
      <w:r w:rsidRPr="00BE2B15">
        <w:rPr>
          <w:rFonts w:ascii="Arial Nova" w:hAnsi="Arial Nova" w:cs="Calibri"/>
          <w:sz w:val="15"/>
          <w:szCs w:val="15"/>
        </w:rPr>
        <w:t>Nitika Saini, Manager – Corporate Communication | +91 9818533004</w:t>
      </w:r>
    </w:p>
    <w:p w14:paraId="2BC3D34C" w14:textId="77777777" w:rsidR="00B93521" w:rsidRPr="005F0045" w:rsidRDefault="00B93521" w:rsidP="00B93521">
      <w:pPr>
        <w:jc w:val="both"/>
        <w:rPr>
          <w:rFonts w:ascii="Arial Nova" w:hAnsi="Arial Nova" w:cs="Calibri"/>
          <w:b/>
          <w:bCs/>
          <w:i/>
          <w:iCs/>
          <w:sz w:val="15"/>
          <w:szCs w:val="15"/>
        </w:rPr>
      </w:pPr>
      <w:r w:rsidRPr="005F0045">
        <w:rPr>
          <w:rFonts w:ascii="Arial Nova" w:hAnsi="Arial Nova" w:cs="Calibri"/>
          <w:b/>
          <w:bCs/>
          <w:i/>
          <w:iCs/>
          <w:sz w:val="15"/>
          <w:szCs w:val="15"/>
        </w:rPr>
        <w:t>Forward-Looking Statements:</w:t>
      </w:r>
    </w:p>
    <w:p w14:paraId="128DE44D" w14:textId="77777777" w:rsidR="00B93521" w:rsidRPr="005F0045" w:rsidRDefault="00B93521" w:rsidP="00B93521">
      <w:pPr>
        <w:jc w:val="both"/>
        <w:rPr>
          <w:rFonts w:ascii="Arial Nova" w:hAnsi="Arial Nova" w:cs="Calibri"/>
          <w:i/>
          <w:iCs/>
          <w:sz w:val="15"/>
          <w:szCs w:val="15"/>
        </w:rPr>
      </w:pPr>
      <w:r w:rsidRPr="005F0045">
        <w:rPr>
          <w:rFonts w:ascii="Arial Nova" w:hAnsi="Arial Nova" w:cs="Calibri"/>
          <w:i/>
          <w:iCs/>
          <w:sz w:val="15"/>
          <w:szCs w:val="15"/>
        </w:rPr>
        <w:t>This press release contains forward-looking statements based on current expectations and assumptions regarding anticipated developments and other factors affecting the company. These statements are subject to risks and uncertainties that could cause actual results to differ materially from those expressed in the forward-looking statements.</w:t>
      </w:r>
    </w:p>
    <w:p w14:paraId="60779397" w14:textId="77777777" w:rsidR="00B93521" w:rsidRPr="00B93521" w:rsidRDefault="00B93521" w:rsidP="00B93521">
      <w:pPr>
        <w:rPr>
          <w:rFonts w:ascii="Arial Nova" w:hAnsi="Arial Nova"/>
          <w:sz w:val="20"/>
          <w:szCs w:val="20"/>
        </w:rPr>
      </w:pPr>
    </w:p>
    <w:p w14:paraId="7EB27D30" w14:textId="77777777" w:rsidR="00B93521" w:rsidRPr="00B93521" w:rsidRDefault="00B93521">
      <w:pPr>
        <w:rPr>
          <w:rFonts w:ascii="Arial Nova" w:hAnsi="Arial Nova"/>
          <w:sz w:val="20"/>
          <w:szCs w:val="20"/>
        </w:rPr>
      </w:pPr>
    </w:p>
    <w:sectPr w:rsidR="00B93521" w:rsidRPr="00B93521" w:rsidSect="00BF0E81">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1931" w14:textId="77777777" w:rsidR="00D1461E" w:rsidRDefault="00D1461E" w:rsidP="00B93521">
      <w:pPr>
        <w:spacing w:after="0" w:line="240" w:lineRule="auto"/>
      </w:pPr>
      <w:r>
        <w:separator/>
      </w:r>
    </w:p>
  </w:endnote>
  <w:endnote w:type="continuationSeparator" w:id="0">
    <w:p w14:paraId="019C2D6F" w14:textId="77777777" w:rsidR="00D1461E" w:rsidRDefault="00D1461E" w:rsidP="00B9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1D97" w14:textId="77777777" w:rsidR="00D1461E" w:rsidRDefault="00D1461E" w:rsidP="00B93521">
      <w:pPr>
        <w:spacing w:after="0" w:line="240" w:lineRule="auto"/>
      </w:pPr>
      <w:r>
        <w:separator/>
      </w:r>
    </w:p>
  </w:footnote>
  <w:footnote w:type="continuationSeparator" w:id="0">
    <w:p w14:paraId="17F182A9" w14:textId="77777777" w:rsidR="00D1461E" w:rsidRDefault="00D1461E" w:rsidP="00B93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B60" w14:textId="71640DED" w:rsidR="00B93521" w:rsidRDefault="00B93521">
    <w:pPr>
      <w:pStyle w:val="Header"/>
    </w:pPr>
    <w:r>
      <w:rPr>
        <w:noProof/>
      </w:rPr>
      <w:drawing>
        <wp:anchor distT="0" distB="0" distL="114300" distR="114300" simplePos="0" relativeHeight="251659264" behindDoc="1" locked="0" layoutInCell="1" allowOverlap="1" wp14:anchorId="2677423F" wp14:editId="2A23192E">
          <wp:simplePos x="0" y="0"/>
          <wp:positionH relativeFrom="column">
            <wp:posOffset>4705350</wp:posOffset>
          </wp:positionH>
          <wp:positionV relativeFrom="paragraph">
            <wp:posOffset>-211455</wp:posOffset>
          </wp:positionV>
          <wp:extent cx="1405890" cy="676275"/>
          <wp:effectExtent l="0" t="0" r="3810" b="9525"/>
          <wp:wrapThrough wrapText="bothSides">
            <wp:wrapPolygon edited="0">
              <wp:start x="0" y="0"/>
              <wp:lineTo x="0" y="21296"/>
              <wp:lineTo x="21366" y="21296"/>
              <wp:lineTo x="21366" y="0"/>
              <wp:lineTo x="0" y="0"/>
            </wp:wrapPolygon>
          </wp:wrapThrough>
          <wp:docPr id="534455250"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55250" name="Picture 2" descr="A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5890" cy="676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C4436"/>
    <w:multiLevelType w:val="multilevel"/>
    <w:tmpl w:val="28B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9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21"/>
    <w:rsid w:val="000B08AB"/>
    <w:rsid w:val="00104288"/>
    <w:rsid w:val="0011624D"/>
    <w:rsid w:val="00250E74"/>
    <w:rsid w:val="002D4BA8"/>
    <w:rsid w:val="00354551"/>
    <w:rsid w:val="00414E4C"/>
    <w:rsid w:val="004E0D78"/>
    <w:rsid w:val="005A016C"/>
    <w:rsid w:val="005D7A08"/>
    <w:rsid w:val="005F0045"/>
    <w:rsid w:val="00604202"/>
    <w:rsid w:val="0064586D"/>
    <w:rsid w:val="0077588E"/>
    <w:rsid w:val="00847FFE"/>
    <w:rsid w:val="00886452"/>
    <w:rsid w:val="0092550C"/>
    <w:rsid w:val="009D08C3"/>
    <w:rsid w:val="009E6316"/>
    <w:rsid w:val="00A90424"/>
    <w:rsid w:val="00AD4BE3"/>
    <w:rsid w:val="00B7660A"/>
    <w:rsid w:val="00B93521"/>
    <w:rsid w:val="00BE2B15"/>
    <w:rsid w:val="00BF0E81"/>
    <w:rsid w:val="00C117AB"/>
    <w:rsid w:val="00C63BEF"/>
    <w:rsid w:val="00D1461E"/>
    <w:rsid w:val="00D3166B"/>
    <w:rsid w:val="00D46542"/>
    <w:rsid w:val="00DC57B2"/>
    <w:rsid w:val="00E340D3"/>
    <w:rsid w:val="00E67212"/>
    <w:rsid w:val="00FB41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FC95"/>
  <w15:chartTrackingRefBased/>
  <w15:docId w15:val="{9E69B29C-EC75-46D6-A6E7-35D90341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521"/>
    <w:rPr>
      <w:rFonts w:eastAsiaTheme="majorEastAsia" w:cstheme="majorBidi"/>
      <w:color w:val="272727" w:themeColor="text1" w:themeTint="D8"/>
    </w:rPr>
  </w:style>
  <w:style w:type="paragraph" w:styleId="Title">
    <w:name w:val="Title"/>
    <w:basedOn w:val="Normal"/>
    <w:next w:val="Normal"/>
    <w:link w:val="TitleChar"/>
    <w:uiPriority w:val="10"/>
    <w:qFormat/>
    <w:rsid w:val="00B93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521"/>
    <w:pPr>
      <w:spacing w:before="160"/>
      <w:jc w:val="center"/>
    </w:pPr>
    <w:rPr>
      <w:i/>
      <w:iCs/>
      <w:color w:val="404040" w:themeColor="text1" w:themeTint="BF"/>
    </w:rPr>
  </w:style>
  <w:style w:type="character" w:customStyle="1" w:styleId="QuoteChar">
    <w:name w:val="Quote Char"/>
    <w:basedOn w:val="DefaultParagraphFont"/>
    <w:link w:val="Quote"/>
    <w:uiPriority w:val="29"/>
    <w:rsid w:val="00B93521"/>
    <w:rPr>
      <w:i/>
      <w:iCs/>
      <w:color w:val="404040" w:themeColor="text1" w:themeTint="BF"/>
    </w:rPr>
  </w:style>
  <w:style w:type="paragraph" w:styleId="ListParagraph">
    <w:name w:val="List Paragraph"/>
    <w:basedOn w:val="Normal"/>
    <w:uiPriority w:val="34"/>
    <w:qFormat/>
    <w:rsid w:val="00B93521"/>
    <w:pPr>
      <w:ind w:left="720"/>
      <w:contextualSpacing/>
    </w:pPr>
  </w:style>
  <w:style w:type="character" w:styleId="IntenseEmphasis">
    <w:name w:val="Intense Emphasis"/>
    <w:basedOn w:val="DefaultParagraphFont"/>
    <w:uiPriority w:val="21"/>
    <w:qFormat/>
    <w:rsid w:val="00B93521"/>
    <w:rPr>
      <w:i/>
      <w:iCs/>
      <w:color w:val="0F4761" w:themeColor="accent1" w:themeShade="BF"/>
    </w:rPr>
  </w:style>
  <w:style w:type="paragraph" w:styleId="IntenseQuote">
    <w:name w:val="Intense Quote"/>
    <w:basedOn w:val="Normal"/>
    <w:next w:val="Normal"/>
    <w:link w:val="IntenseQuoteChar"/>
    <w:uiPriority w:val="30"/>
    <w:qFormat/>
    <w:rsid w:val="00B93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521"/>
    <w:rPr>
      <w:i/>
      <w:iCs/>
      <w:color w:val="0F4761" w:themeColor="accent1" w:themeShade="BF"/>
    </w:rPr>
  </w:style>
  <w:style w:type="character" w:styleId="IntenseReference">
    <w:name w:val="Intense Reference"/>
    <w:basedOn w:val="DefaultParagraphFont"/>
    <w:uiPriority w:val="32"/>
    <w:qFormat/>
    <w:rsid w:val="00B93521"/>
    <w:rPr>
      <w:b/>
      <w:bCs/>
      <w:smallCaps/>
      <w:color w:val="0F4761" w:themeColor="accent1" w:themeShade="BF"/>
      <w:spacing w:val="5"/>
    </w:rPr>
  </w:style>
  <w:style w:type="paragraph" w:styleId="Header">
    <w:name w:val="header"/>
    <w:basedOn w:val="Normal"/>
    <w:link w:val="HeaderChar"/>
    <w:uiPriority w:val="99"/>
    <w:unhideWhenUsed/>
    <w:rsid w:val="00B93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521"/>
  </w:style>
  <w:style w:type="paragraph" w:styleId="Footer">
    <w:name w:val="footer"/>
    <w:basedOn w:val="Normal"/>
    <w:link w:val="FooterChar"/>
    <w:uiPriority w:val="99"/>
    <w:unhideWhenUsed/>
    <w:rsid w:val="00B93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521"/>
  </w:style>
  <w:style w:type="character" w:styleId="Hyperlink">
    <w:name w:val="Hyperlink"/>
    <w:basedOn w:val="DefaultParagraphFont"/>
    <w:uiPriority w:val="99"/>
    <w:unhideWhenUsed/>
    <w:rsid w:val="00B93521"/>
    <w:rPr>
      <w:color w:val="467886" w:themeColor="hyperlink"/>
      <w:u w:val="single"/>
    </w:rPr>
  </w:style>
  <w:style w:type="paragraph" w:styleId="NormalWeb">
    <w:name w:val="Normal (Web)"/>
    <w:basedOn w:val="Normal"/>
    <w:uiPriority w:val="99"/>
    <w:semiHidden/>
    <w:unhideWhenUsed/>
    <w:rsid w:val="00847F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62744">
      <w:bodyDiv w:val="1"/>
      <w:marLeft w:val="0"/>
      <w:marRight w:val="0"/>
      <w:marTop w:val="0"/>
      <w:marBottom w:val="0"/>
      <w:divBdr>
        <w:top w:val="none" w:sz="0" w:space="0" w:color="auto"/>
        <w:left w:val="none" w:sz="0" w:space="0" w:color="auto"/>
        <w:bottom w:val="none" w:sz="0" w:space="0" w:color="auto"/>
        <w:right w:val="none" w:sz="0" w:space="0" w:color="auto"/>
      </w:divBdr>
      <w:divsChild>
        <w:div w:id="101326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654164">
      <w:bodyDiv w:val="1"/>
      <w:marLeft w:val="0"/>
      <w:marRight w:val="0"/>
      <w:marTop w:val="0"/>
      <w:marBottom w:val="0"/>
      <w:divBdr>
        <w:top w:val="none" w:sz="0" w:space="0" w:color="auto"/>
        <w:left w:val="none" w:sz="0" w:space="0" w:color="auto"/>
        <w:bottom w:val="none" w:sz="0" w:space="0" w:color="auto"/>
        <w:right w:val="none" w:sz="0" w:space="0" w:color="auto"/>
      </w:divBdr>
      <w:divsChild>
        <w:div w:id="1087077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1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epe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rporate@morep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Nitika Saini</dc:creator>
  <cp:keywords/>
  <dc:description/>
  <cp:lastModifiedBy>Vipul Srivastava</cp:lastModifiedBy>
  <cp:revision>2</cp:revision>
  <cp:lastPrinted>2025-04-29T01:08:00Z</cp:lastPrinted>
  <dcterms:created xsi:type="dcterms:W3CDTF">2025-04-29T02:26:00Z</dcterms:created>
  <dcterms:modified xsi:type="dcterms:W3CDTF">2025-04-29T02:26:00Z</dcterms:modified>
</cp:coreProperties>
</file>